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Including Other Formats</w:t>
      </w:r>
    </w:p>
    <w:bookmarkStart w:id="15" w:name="overview"/>
    <w:p>
      <w:pPr>
        <w:pStyle w:val="Heading2"/>
      </w:pPr>
      <w:r>
        <w:t xml:space="preserve">Overview</w:t>
      </w:r>
    </w:p>
    <w:p>
      <w:pPr>
        <w:pStyle w:val="FirstParagraph"/>
      </w:pPr>
      <w:r>
        <w:t xml:space="preserve">HTML pages (either standalone or in a website) can automatically include links to other formats specified in the document front matter. For example, the following document front matter: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p>
      <w:pPr>
        <w:pStyle w:val="FirstParagraph"/>
      </w:pPr>
      <w:r>
        <w:t xml:space="preserve">Results in an HTML page that includes a link to the additional notebook format in the right margin below the table of contents:</w:t>
      </w:r>
    </w:p>
    <w:p>
      <w:pPr>
        <w:pStyle w:val="BodyText"/>
      </w:pPr>
      <w:r>
        <w:drawing>
          <wp:inline>
            <wp:extent cx="5334000" cy="2054360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images/other-format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54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a table of contents is enabled for the page, the additional formats will be automatically placed within the table of contents as a new section. If no table of contents is displayed, the additional formats will be displayed in the right margin at the top of the document.</w:t>
      </w:r>
    </w:p>
    <w:p>
      <w:pPr>
        <w:pStyle w:val="BodyText"/>
      </w:pPr>
      <w:r>
        <w:t xml:space="preserve">Links to additional formats are displayed by default, but you can control whether they are shown or even which specific formats are included with the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YAML option.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Rendering All Formats in Standalone HTML Documents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The Render button in RStudio, and the Preview button in Positron and VS Code, will not automatically render all formats if the document isn’t part of a Quarto website. To render all formats use</w:t>
            </w:r>
            <w:r>
              <w:t xml:space="preserve"> </w:t>
            </w:r>
            <w:r>
              <w:rPr>
                <w:rStyle w:val="VerbatimChar"/>
              </w:rPr>
              <w:t xml:space="preserve">quarto render</w:t>
            </w:r>
            <w:r>
              <w:t xml:space="preserve"> </w:t>
            </w:r>
            <w:r>
              <w:t xml:space="preserve">on the command line:</w:t>
            </w:r>
          </w:p>
          <w:p>
            <w:pPr>
              <w:pStyle w:val="SourceCode"/>
            </w:pPr>
            <w:r>
              <w:rPr>
                <w:rStyle w:val="ExtensionTok"/>
              </w:rPr>
              <w:t xml:space="preserve">quarto</w:t>
            </w:r>
            <w:r>
              <w:rPr>
                <w:rStyle w:val="NormalTok"/>
              </w:rPr>
              <w:t xml:space="preserve"> render multi-format.qmd</w:t>
            </w:r>
          </w:p>
          <w:p/>
        </w:tc>
      </w:tr>
    </w:tbl>
    <w:bookmarkEnd w:id="15"/>
    <w:bookmarkStart w:id="16" w:name="X0021117fe3dfa13934dbc785b96300165458163"/>
    <w:p>
      <w:pPr>
        <w:pStyle w:val="Heading2"/>
      </w:pPr>
      <w:r>
        <w:t xml:space="preserve">Rendering Formats with the Same Extension</w:t>
      </w:r>
    </w:p>
    <w:p>
      <w:pPr>
        <w:pStyle w:val="FirstParagraph"/>
      </w:pPr>
      <w:r>
        <w:t xml:space="preserve">If your formats share a file extension, for example, both HTML pages and Revealjs presentations use</w:t>
      </w:r>
      <w:r>
        <w:t xml:space="preserve"> </w:t>
      </w:r>
      <w:r>
        <w:rPr>
          <w:rStyle w:val="VerbatimChar"/>
        </w:rPr>
        <w:t xml:space="preserve">.html</w:t>
      </w:r>
      <w:r>
        <w:t xml:space="preserve">, their outputs will overwrite each other. To include formats with the same extension, use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 </w:t>
      </w:r>
      <w:r>
        <w:t xml:space="preserve">to distinguish one. For example, to include a link to a RevealJS presentation provide a distinct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revealjs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output-file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document-revealjs.html</w:t>
      </w:r>
    </w:p>
    <w:bookmarkEnd w:id="16"/>
    <w:bookmarkStart w:id="19" w:name="specifying-formats-to-link"/>
    <w:p>
      <w:pPr>
        <w:pStyle w:val="Heading2"/>
      </w:pPr>
      <w:r>
        <w:t xml:space="preserve">Specifying Formats to Link</w:t>
      </w:r>
    </w:p>
    <w:p>
      <w:pPr>
        <w:pStyle w:val="FirstParagraph"/>
      </w:pPr>
      <w:r>
        <w:t xml:space="preserve">You can provide an explicit list of formats to include in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section by providing a list as the value for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. For example, this document front matter will result in only the link to the Jupyter notebook format, excluding the PDF format: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KeywordTok"/>
        </w:rPr>
        <w:t xml:space="preserve">[</w:t>
      </w:r>
      <w:r>
        <w:rPr>
          <w:rStyle w:val="AttributeTok"/>
        </w:rPr>
        <w:t xml:space="preserve">ipynb</w:t>
      </w:r>
      <w:r>
        <w:rPr>
          <w:rStyle w:val="KeywordTok"/>
        </w:rPr>
        <w:t xml:space="preserve">]</w:t>
      </w:r>
    </w:p>
    <w:p>
      <w:pPr>
        <w:pStyle w:val="FirstParagraph"/>
      </w:pPr>
      <w:r>
        <w:t xml:space="preserve">You can also customize the links by passing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an object with keys: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</w:t>
      </w:r>
      <w:r>
        <w:t xml:space="preserve">, the format to be linked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text</w:t>
      </w:r>
      <w:r>
        <w:t xml:space="preserve">, the text to be displayed for the link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icon</w:t>
      </w:r>
      <w:r>
        <w:t xml:space="preserve">, the name of a</w:t>
      </w:r>
      <w:r>
        <w:t xml:space="preserve"> </w:t>
      </w:r>
      <w:hyperlink r:id="rId17">
        <w:r>
          <w:rPr>
            <w:rStyle w:val="Hyperlink"/>
          </w:rPr>
          <w:t xml:space="preserve">Bootstrap icons</w:t>
        </w:r>
      </w:hyperlink>
    </w:p>
    <w:p>
      <w:pPr>
        <w:pStyle w:val="FirstParagraph"/>
      </w:pPr>
      <w:r>
        <w:t xml:space="preserve">For example, here a link to the</w:t>
      </w:r>
      <w:r>
        <w:t xml:space="preserve"> </w:t>
      </w:r>
      <w:r>
        <w:rPr>
          <w:rStyle w:val="VerbatimChar"/>
        </w:rPr>
        <w:t xml:space="preserve">typst</w:t>
      </w:r>
      <w:r>
        <w:t xml:space="preserve"> </w:t>
      </w:r>
      <w:r>
        <w:t xml:space="preserve">format is displayed as the text</w:t>
      </w:r>
      <w:r>
        <w:t xml:space="preserve"> </w:t>
      </w:r>
      <w:r>
        <w:t xml:space="preserve">“PDF”</w:t>
      </w:r>
      <w:r>
        <w:t xml:space="preserve"> </w:t>
      </w:r>
      <w:r>
        <w:t xml:space="preserve">along with a PDF file icon: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typst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html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typst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PDF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file-pdf</w:t>
      </w:r>
    </w:p>
    <w:p>
      <w:pPr>
        <w:pStyle w:val="FirstParagraph"/>
      </w:pPr>
      <w:r>
        <w:t xml:space="preserve">You can also provide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items using the same options as</w:t>
      </w:r>
      <w:r>
        <w:t xml:space="preserve"> </w:t>
      </w:r>
      <w:hyperlink r:id="rId18">
        <w:r>
          <w:rPr>
            <w:rStyle w:val="Hyperlink"/>
          </w:rPr>
          <w:t xml:space="preserve">Code Links and Other Links</w:t>
        </w:r>
      </w:hyperlink>
      <w:r>
        <w:t xml:space="preserve">.</w:t>
      </w:r>
      <w:r>
        <w:t xml:space="preserve"> </w:t>
      </w:r>
      <w:r>
        <w:t xml:space="preserve">For example, rather than another format, you could to add a link to an external URL:</w:t>
      </w:r>
    </w:p>
    <w:p>
      <w:pPr>
        <w:pStyle w:val="SourceCode"/>
      </w:pP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Other Link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href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https://quarto.org/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hand-thumbs-up</w:t>
      </w:r>
    </w:p>
    <w:bookmarkEnd w:id="19"/>
    <w:bookmarkStart w:id="20" w:name="hiding-all-links"/>
    <w:p>
      <w:pPr>
        <w:pStyle w:val="Heading2"/>
      </w:pPr>
      <w:r>
        <w:t xml:space="preserve">Hiding All Links</w:t>
      </w:r>
    </w:p>
    <w:p>
      <w:pPr>
        <w:pStyle w:val="FirstParagraph"/>
      </w:pPr>
      <w:r>
        <w:t xml:space="preserve">To prevent format links from being shown at all, specify</w:t>
      </w:r>
      <w:r>
        <w:t xml:space="preserve"> </w:t>
      </w:r>
      <w:r>
        <w:rPr>
          <w:rStyle w:val="VerbatimChar"/>
        </w:rPr>
        <w:t xml:space="preserve">format-links: false</w:t>
      </w:r>
      <w:r>
        <w:t xml:space="preserve"> </w:t>
      </w:r>
      <w:r>
        <w:t xml:space="preserve">in your document front matter. For example this front matter will not display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links: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false</w:t>
      </w:r>
    </w:p>
    <w:bookmarkEnd w:id="20"/>
    <w:bookmarkStart w:id="24" w:name="controlling-formats-at-a-project-level"/>
    <w:p>
      <w:pPr>
        <w:pStyle w:val="Heading2"/>
      </w:pPr>
      <w:r>
        <w:t xml:space="preserve">Controlling Formats at a Project Level</w:t>
      </w:r>
    </w:p>
    <w:p>
      <w:pPr>
        <w:pStyle w:val="FirstParagraph"/>
      </w:pPr>
      <w:r>
        <w:t xml:space="preserve">In a Quarto Project, to control the formats and their behavior for a specific folder, provide 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options in a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 </w:t>
      </w:r>
      <w:r>
        <w:t xml:space="preserve">file. Similarly, you can specify these options for an entire project by including them in the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 </w:t>
      </w:r>
      <w:r>
        <w:t xml:space="preserve">project file. See</w:t>
      </w:r>
      <w:r>
        <w:t xml:space="preserve"> </w:t>
      </w:r>
      <w:hyperlink r:id="rId21">
        <w:r>
          <w:rPr>
            <w:rStyle w:val="Hyperlink"/>
          </w:rPr>
          <w:t xml:space="preserve">Directory Metadata</w:t>
        </w:r>
      </w:hyperlink>
      <w:r>
        <w:t xml:space="preserve"> </w:t>
      </w:r>
      <w:r>
        <w:t xml:space="preserve">or</w:t>
      </w:r>
      <w:r>
        <w:t xml:space="preserve"> </w:t>
      </w:r>
      <w:hyperlink r:id="rId22">
        <w:r>
          <w:rPr>
            <w:rStyle w:val="Hyperlink"/>
          </w:rPr>
          <w:t xml:space="preserve">Project Metadata</w:t>
        </w:r>
      </w:hyperlink>
      <w:r>
        <w:t xml:space="preserve"> </w:t>
      </w:r>
      <w:r>
        <w:t xml:space="preserve">for additional details.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option isn’t merged like all other</w:t>
      </w:r>
      <w:r>
        <w:t xml:space="preserve"> </w:t>
      </w:r>
      <w:hyperlink r:id="rId23">
        <w:r>
          <w:rPr>
            <w:rStyle w:val="Hyperlink"/>
          </w:rPr>
          <w:t xml:space="preserve">metadata</w:t>
        </w:r>
      </w:hyperlink>
      <w:r>
        <w:t xml:space="preserve"> </w:t>
      </w:r>
      <w:r>
        <w:t xml:space="preserve">across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,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, and the document YAML. If you have some formats specified at a project or directory level, you’ll also need to explicitly list them in the document YAML. For example, suppose you have HTML options set at the project level: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</w:p>
    <w:p>
      <w:pPr>
        <w:pStyle w:val="FirstParagraph"/>
      </w:pPr>
      <w:r>
        <w:t xml:space="preserve">In order to get an HTML document with a link to the PDF format, you’ll need to list both formats in the YAML header: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efefe"/>
    </w:pPr>
  </w:style>
  <w:style w:type="character" w:customStyle="1" w:styleId="KeywordTok">
    <w:name w:val="KeywordTok"/>
    <w:basedOn w:val="VerbatimChar"/>
    <w:rPr>
      <w:color w:val="d91e18"/>
      <w:shd w:val="clear" w:fill="fefefe"/>
    </w:rPr>
  </w:style>
  <w:style w:type="character" w:customStyle="1" w:styleId="DataTypeTok">
    <w:name w:val="DataTypeTok"/>
    <w:basedOn w:val="VerbatimChar"/>
    <w:rPr>
      <w:color w:val="7928a1"/>
      <w:shd w:val="clear" w:fill="fefefe"/>
    </w:rPr>
  </w:style>
  <w:style w:type="character" w:customStyle="1" w:styleId="DecValTok">
    <w:name w:val="DecValTok"/>
    <w:basedOn w:val="VerbatimChar"/>
    <w:rPr>
      <w:color w:val="7928a1"/>
      <w:shd w:val="clear" w:fill="fefefe"/>
    </w:rPr>
  </w:style>
  <w:style w:type="character" w:customStyle="1" w:styleId="BaseNTok">
    <w:name w:val="BaseNTok"/>
    <w:basedOn w:val="VerbatimChar"/>
    <w:rPr>
      <w:color w:val="7928a1"/>
      <w:shd w:val="clear" w:fill="fefefe"/>
    </w:rPr>
  </w:style>
  <w:style w:type="character" w:customStyle="1" w:styleId="FloatTok">
    <w:name w:val="FloatTok"/>
    <w:basedOn w:val="VerbatimChar"/>
    <w:rPr>
      <w:color w:val="a55a00"/>
      <w:shd w:val="clear" w:fill="fefefe"/>
    </w:rPr>
  </w:style>
  <w:style w:type="character" w:customStyle="1" w:styleId="ConstantTok">
    <w:name w:val="ConstantTok"/>
    <w:basedOn w:val="VerbatimChar"/>
    <w:rPr>
      <w:color w:val="d91e18"/>
      <w:shd w:val="clear" w:fill="fefefe"/>
    </w:rPr>
  </w:style>
  <w:style w:type="character" w:customStyle="1" w:styleId="CharTok">
    <w:name w:val="CharTok"/>
    <w:basedOn w:val="VerbatimChar"/>
    <w:rPr>
      <w:color w:val="008000"/>
      <w:shd w:val="clear" w:fill="fefefe"/>
    </w:rPr>
  </w:style>
  <w:style w:type="character" w:customStyle="1" w:styleId="SpecialCharTok">
    <w:name w:val="SpecialCharTok"/>
    <w:basedOn w:val="VerbatimChar"/>
    <w:rPr>
      <w:color w:val="00769e"/>
      <w:shd w:val="clear" w:fill="fefefe"/>
    </w:rPr>
  </w:style>
  <w:style w:type="character" w:customStyle="1" w:styleId="StringTok">
    <w:name w:val="StringTok"/>
    <w:basedOn w:val="VerbatimChar"/>
    <w:rPr>
      <w:color w:val="008000"/>
      <w:shd w:val="clear" w:fill="fefefe"/>
    </w:rPr>
  </w:style>
  <w:style w:type="character" w:customStyle="1" w:styleId="VerbatimStringTok">
    <w:name w:val="VerbatimStringTok"/>
    <w:basedOn w:val="VerbatimChar"/>
    <w:rPr>
      <w:color w:val="008000"/>
      <w:shd w:val="clear" w:fill="fefefe"/>
    </w:rPr>
  </w:style>
  <w:style w:type="character" w:customStyle="1" w:styleId="SpecialStringTok">
    <w:name w:val="SpecialStringTok"/>
    <w:basedOn w:val="VerbatimChar"/>
    <w:rPr>
      <w:color w:val="008000"/>
      <w:shd w:val="clear" w:fill="fefefe"/>
    </w:rPr>
  </w:style>
  <w:style w:type="character" w:customStyle="1" w:styleId="ImportTok">
    <w:name w:val="ImportTok"/>
    <w:basedOn w:val="VerbatimChar"/>
    <w:rPr>
      <w:color w:val="545454"/>
      <w:shd w:val="clear" w:fill="fefefe"/>
    </w:rPr>
  </w:style>
  <w:style w:type="character" w:customStyle="1" w:styleId="CommentTok">
    <w:name w:val="CommentTok"/>
    <w:basedOn w:val="VerbatimChar"/>
    <w:rPr>
      <w:color w:val="696969"/>
      <w:shd w:val="clear" w:fill="fefefe"/>
    </w:rPr>
  </w:style>
  <w:style w:type="character" w:customStyle="1" w:styleId="DocumentationTok">
    <w:name w:val="DocumentationTok"/>
    <w:basedOn w:val="VerbatimChar"/>
    <w:rPr>
      <w:i/>
      <w:color w:val="696969"/>
      <w:shd w:val="clear" w:fill="fefefe"/>
    </w:rPr>
  </w:style>
  <w:style w:type="character" w:customStyle="1" w:styleId="AnnotationTok">
    <w:name w:val="AnnotationTok"/>
    <w:basedOn w:val="VerbatimChar"/>
    <w:rPr>
      <w:color w:val="696969"/>
      <w:shd w:val="clear" w:fill="fefefe"/>
    </w:rPr>
  </w:style>
  <w:style w:type="character" w:customStyle="1" w:styleId="CommentVarTok">
    <w:name w:val="CommentVarTok"/>
    <w:basedOn w:val="VerbatimChar"/>
    <w:rPr>
      <w:i/>
      <w:color w:val="696969"/>
      <w:shd w:val="clear" w:fill="fefefe"/>
    </w:rPr>
  </w:style>
  <w:style w:type="character" w:customStyle="1" w:styleId="OtherTok">
    <w:name w:val="OtherTok"/>
    <w:basedOn w:val="VerbatimChar"/>
    <w:rPr>
      <w:color w:val="d91e18"/>
      <w:shd w:val="clear" w:fill="fefefe"/>
    </w:rPr>
  </w:style>
  <w:style w:type="character" w:customStyle="1" w:styleId="FunctionTok">
    <w:name w:val="FunctionTok"/>
    <w:basedOn w:val="VerbatimChar"/>
    <w:rPr>
      <w:color w:val="06287e"/>
      <w:shd w:val="clear" w:fill="fefefe"/>
    </w:rPr>
  </w:style>
  <w:style w:type="character" w:customStyle="1" w:styleId="VariableTok">
    <w:name w:val="VariableTok"/>
    <w:basedOn w:val="VerbatimChar"/>
    <w:rPr>
      <w:color w:val="a55a00"/>
      <w:shd w:val="clear" w:fill="fefefe"/>
    </w:rPr>
  </w:style>
  <w:style w:type="character" w:customStyle="1" w:styleId="ControlFlowTok">
    <w:name w:val="ControlFlowTok"/>
    <w:basedOn w:val="VerbatimChar"/>
    <w:rPr>
      <w:color w:val="d91e18"/>
      <w:shd w:val="clear" w:fill="fefefe"/>
    </w:rPr>
  </w:style>
  <w:style w:type="character" w:customStyle="1" w:styleId="OperatorTok">
    <w:name w:val="OperatorTok"/>
    <w:basedOn w:val="VerbatimChar"/>
    <w:rPr>
      <w:color w:val="00769e"/>
      <w:shd w:val="clear" w:fill="fefefe"/>
    </w:rPr>
  </w:style>
  <w:style w:type="character" w:customStyle="1" w:styleId="BuiltInTok">
    <w:name w:val="BuiltInTok"/>
    <w:basedOn w:val="VerbatimChar"/>
    <w:rPr>
      <w:color w:val="545454"/>
      <w:shd w:val="clear" w:fill="fefefe"/>
    </w:rPr>
  </w:style>
  <w:style w:type="character" w:customStyle="1" w:styleId="ExtensionTok">
    <w:name w:val="ExtensionTok"/>
    <w:basedOn w:val="VerbatimChar"/>
    <w:rPr>
      <w:color w:val="545454"/>
      <w:shd w:val="clear" w:fill="fefefe"/>
    </w:rPr>
  </w:style>
  <w:style w:type="character" w:customStyle="1" w:styleId="PreprocessorTok">
    <w:name w:val="PreprocessorTok"/>
    <w:basedOn w:val="VerbatimChar"/>
    <w:rPr>
      <w:color w:val="7928a1"/>
      <w:shd w:val="clear" w:fill="fefefe"/>
    </w:rPr>
  </w:style>
  <w:style w:type="character" w:customStyle="1" w:styleId="AttributeTok">
    <w:name w:val="AttributeTok"/>
    <w:basedOn w:val="VerbatimChar"/>
    <w:rPr>
      <w:color w:val="a55a00"/>
      <w:shd w:val="clear" w:fill="fefefe"/>
    </w:rPr>
  </w:style>
  <w:style w:type="character" w:customStyle="1" w:styleId="RegionMarkerTok">
    <w:name w:val="RegionMarkerTok"/>
    <w:basedOn w:val="VerbatimChar"/>
    <w:rPr>
      <w:color w:val="545454"/>
      <w:shd w:val="clear" w:fill="fefefe"/>
    </w:rPr>
  </w:style>
  <w:style w:type="character" w:customStyle="1" w:styleId="InformationTok">
    <w:name w:val="InformationTok"/>
    <w:basedOn w:val="VerbatimChar"/>
    <w:rPr>
      <w:color w:val="696969"/>
      <w:shd w:val="clear" w:fill="fefefe"/>
    </w:rPr>
  </w:style>
  <w:style w:type="character" w:customStyle="1" w:styleId="WarningTok">
    <w:name w:val="WarningTok"/>
    <w:basedOn w:val="VerbatimChar"/>
    <w:rPr>
      <w:i/>
      <w:color w:val="696969"/>
      <w:shd w:val="clear" w:fill="fefefe"/>
    </w:rPr>
  </w:style>
  <w:style w:type="character" w:customStyle="1" w:styleId="AlertTok">
    <w:name w:val="AlertTok"/>
    <w:basedOn w:val="VerbatimChar"/>
    <w:rPr>
      <w:color w:val="7928a1"/>
      <w:shd w:val="clear" w:fill="fefefe"/>
    </w:rPr>
  </w:style>
  <w:style w:type="character" w:customStyle="1" w:styleId="ErrorTok">
    <w:name w:val="ErrorTok"/>
    <w:basedOn w:val="VerbatimChar"/>
    <w:rPr>
      <w:color w:val="7928a1"/>
      <w:shd w:val="clear" w:fill="fefefe"/>
    </w:rPr>
  </w:style>
  <w:style w:type="character" w:customStyle="1" w:styleId="NormalTok">
    <w:name w:val="NormalTok"/>
    <w:basedOn w:val="VerbatimChar"/>
    <w:rPr>
      <w:color w:val="545454"/>
      <w:shd w:val="clear" w:fill="fefefe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Including Other Formats</dc:title>
  <dc:creator/>
  <cp:keywords/>
  <dcterms:created xsi:type="dcterms:W3CDTF">2026-07-24T20:10:29Z</dcterms:created>
  <dcterms:modified xsi:type="dcterms:W3CDTF">2026-07-24T20:10:29Z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quarto-vars">
    <vt:lpwstr/>
  </property>
  <property fmtid="{D5CDD505-2E9C-101B-9397-08002B2CF9AE}" pid="3" name="aliases">
    <vt:lpwstr/>
  </property>
  <property fmtid="{D5CDD505-2E9C-101B-9397-08002B2CF9AE}" pid="4" name="biblio-config">
    <vt:lpwstr>True</vt:lpwstr>
  </property>
  <property fmtid="{D5CDD505-2E9C-101B-9397-08002B2CF9AE}" pid="5" name="bibliography">
    <vt:lpwstr/>
  </property>
  <property fmtid="{D5CDD505-2E9C-101B-9397-08002B2CF9AE}" pid="6" name="draft-mode">
    <vt:lpwstr>visible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prerelease-lower">
    <vt:lpwstr>pre-release</vt:lpwstr>
  </property>
  <property fmtid="{D5CDD505-2E9C-101B-9397-08002B2CF9AE}" pid="12" name="prerelease-mode">
    <vt:lpwstr/>
  </property>
  <property fmtid="{D5CDD505-2E9C-101B-9397-08002B2CF9AE}" pid="13" name="prerelease-subdomain">
    <vt:lpwstr/>
  </property>
  <property fmtid="{D5CDD505-2E9C-101B-9397-08002B2CF9AE}" pid="14" name="prerelease-title">
    <vt:lpwstr>Pre-release</vt:lpwstr>
  </property>
  <property fmtid="{D5CDD505-2E9C-101B-9397-08002B2CF9AE}" pid="15" name="toc-title">
    <vt:lpwstr>Table of contents</vt:lpwstr>
  </property>
  <property fmtid="{D5CDD505-2E9C-101B-9397-08002B2CF9AE}" pid="16" name="version">
    <vt:lpwstr>1.10</vt:lpwstr>
  </property>
</Properties>
</file>